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rPr>
          <w:noProof w:val="0"/>
          <w:lang w:val="fr-FR"/>
        </w:rPr>
      </w:pPr>
      <w:r>
        <w:rPr>
          <w:noProof w:val="0"/>
          <w:lang w:val="fr-FR"/>
        </w:rPr>
        <w:t>COMMUNIQUÉ DE PRESSE</w:t>
      </w:r>
    </w:p>
    <w:p>
      <w:pPr>
        <w:rPr>
          <w:b/>
          <w:sz w:val="24"/>
          <w:lang w:val="fr-FR"/>
        </w:rPr>
      </w:pPr>
    </w:p>
    <w:p>
      <w:pPr>
        <w:rPr>
          <w:b/>
          <w:sz w:val="24"/>
          <w:lang w:val="fr-FR"/>
        </w:rPr>
      </w:pPr>
      <w:r>
        <w:rPr>
          <w:b/>
          <w:sz w:val="24"/>
          <w:lang w:val="fr-FR"/>
        </w:rPr>
        <w:t>Excellence dans le domaine de l’automatisation – OneVision Software participe à FESPA Berlin 2025</w:t>
      </w:r>
    </w:p>
    <w:p>
      <w:pPr>
        <w:rPr>
          <w:b/>
          <w:sz w:val="24"/>
          <w:lang w:val="fr-FR"/>
        </w:rPr>
      </w:pPr>
    </w:p>
    <w:p>
      <w:pPr>
        <w:suppressAutoHyphens w:val="0"/>
        <w:spacing w:before="100" w:beforeAutospacing="1" w:after="100" w:afterAutospacing="1"/>
        <w:jc w:val="both"/>
        <w:rPr>
          <w:b/>
          <w:bCs/>
          <w:szCs w:val="20"/>
          <w:lang w:val="fr-FR" w:eastAsia="de-DE"/>
        </w:rPr>
      </w:pPr>
      <w:proofErr w:type="spellStart"/>
      <w:r>
        <w:rPr>
          <w:b/>
          <w:bCs/>
          <w:szCs w:val="20"/>
          <w:lang w:val="fr-FR" w:eastAsia="de-DE"/>
        </w:rPr>
        <w:t>OneVision</w:t>
      </w:r>
      <w:proofErr w:type="spellEnd"/>
      <w:r>
        <w:rPr>
          <w:b/>
          <w:bCs/>
          <w:szCs w:val="20"/>
          <w:lang w:val="fr-FR" w:eastAsia="de-DE"/>
        </w:rPr>
        <w:t xml:space="preserve"> Software, leader de l’automatisation des flux de production, annonce sa participation à FESPA Global Print Expo du 6 au 9 mai, à Berlin. Le fabricant de logiciels présentera ses dernières innovations conçues pour rationaliser et automatiser la production d’imprimés grand format, notamment une solution de suivi de la production numérique pour les usines intelligentes.</w:t>
      </w:r>
    </w:p>
    <w:p>
      <w:pPr>
        <w:rPr>
          <w:rFonts w:asciiTheme="minorHAnsi" w:hAnsiTheme="minorHAnsi" w:cstheme="minorHAnsi"/>
          <w:sz w:val="24"/>
          <w:lang w:val="fr-FR"/>
        </w:rPr>
      </w:pPr>
    </w:p>
    <w:p>
      <w:pPr>
        <w:jc w:val="both"/>
        <w:rPr>
          <w:rFonts w:eastAsiaTheme="minorHAnsi"/>
          <w:lang w:val="fr-FR"/>
        </w:rPr>
      </w:pPr>
      <w:r>
        <w:rPr>
          <w:rFonts w:eastAsiaTheme="minorHAnsi"/>
          <w:b/>
          <w:bCs/>
          <w:lang w:val="fr-FR"/>
        </w:rPr>
        <w:t>Ratisbonne</w:t>
      </w:r>
      <w:r>
        <w:rPr>
          <w:rFonts w:eastAsiaTheme="minorHAnsi"/>
          <w:lang w:val="fr-FR"/>
        </w:rPr>
        <w:t xml:space="preserve"> – Avec le thème « Where Visionaries Meet » / « Où les visionnaires se rencontrent », FESPA Global Print Expo 2025 réunira la communauté mondiale de l’impression grand format pour discuter des principaux défis de l’industrie tels que le manque de travailleurs qualifiés, la nécessité d’une utilisation plus durable des ressources et la demande croissante de numérisation et de connectivité dans les flux de travail de la production. Le logiciel d’automatisation modulaire de OneVision fait face à ces défis en offrant des solutions de pointe conçues pour optimiser les processus de production d’impression.</w:t>
      </w:r>
    </w:p>
    <w:p>
      <w:pPr>
        <w:jc w:val="both"/>
        <w:rPr>
          <w:rFonts w:eastAsiaTheme="minorHAnsi"/>
          <w:lang w:val="fr-FR"/>
        </w:rPr>
      </w:pPr>
    </w:p>
    <w:p>
      <w:pPr>
        <w:jc w:val="both"/>
        <w:rPr>
          <w:rFonts w:eastAsiaTheme="minorHAnsi"/>
          <w:b/>
          <w:bCs/>
          <w:lang w:val="fr-FR"/>
        </w:rPr>
      </w:pPr>
      <w:r>
        <w:rPr>
          <w:rFonts w:eastAsiaTheme="minorHAnsi"/>
          <w:b/>
          <w:bCs/>
          <w:lang w:val="fr-FR"/>
        </w:rPr>
        <w:t>Logiciel d’automatisation flexible pour l’impression grand format</w:t>
      </w:r>
    </w:p>
    <w:p>
      <w:pPr>
        <w:jc w:val="both"/>
        <w:rPr>
          <w:rFonts w:eastAsiaTheme="minorHAnsi"/>
          <w:b/>
          <w:bCs/>
          <w:lang w:val="fr-FR"/>
        </w:rPr>
      </w:pPr>
    </w:p>
    <w:p>
      <w:pPr>
        <w:jc w:val="both"/>
        <w:rPr>
          <w:rStyle w:val="--l"/>
          <w:lang w:val="fr-FR"/>
        </w:rPr>
      </w:pPr>
      <w:r>
        <w:rPr>
          <w:rStyle w:val="--l"/>
          <w:lang w:val="fr-FR"/>
        </w:rPr>
        <w:t>La suite Wide Format Automation de OneVision propose une approche globale pour améliorer l’efficacité des solutions d’impression grand format, y compris des solutions pour produire l’habillage de véhicules, le matériel de point de vente, les panneaux signalétiques, les bannières et même les articles de petit format tels que les étiquettes. Le logiciel intermédiaire rationalise la production depuis l’entrée des fichiers jusqu’à l’impression et la finition, et garantit une utilisation optimale du substrat grâce à une gestion intelligente de l’imbrication, du tuilage et de la ligne de coupe. La préparation automatisée des fichiers permet de réaliser des gains de temps considérables avec les fichiers volumineux.</w:t>
      </w:r>
    </w:p>
    <w:p>
      <w:pPr>
        <w:jc w:val="both"/>
        <w:rPr>
          <w:rStyle w:val="--l"/>
          <w:lang w:val="fr-FR"/>
        </w:rPr>
      </w:pPr>
    </w:p>
    <w:p>
      <w:pPr>
        <w:jc w:val="both"/>
        <w:rPr>
          <w:lang w:val="fr-FR"/>
        </w:rPr>
      </w:pPr>
      <w:r>
        <w:rPr>
          <w:lang w:val="fr-FR"/>
        </w:rPr>
        <w:t>« À FESPA Berlin 2025, les visiteurs verront directement comment les solutions d’automatisation de OneVision améliorent l’efficacité opérationnelle, réduisent les erreurs et numérisent la production », déclare Sacha-Vittorio Paolucci, responsable des ventes pour l’Europe chez OneVision Software. « Au-delà de l’automatisation conventionnelle, notre intégration innovante des technologies de vision par ordinateur et des capacités de suivi avancées permet aux entreprises d’atteindre une visibilité et une traçabilité sans précédent à travers leurs processus de production et de chaîne d’approvisionnement. Cela permet aux fournisseurs de services d’impression de profiter d’analyse des données en temps réel, garantir la précision et d’améliorer les interactions avec les clients, en assurant efficacement l’avenir de leurs opérations dans un marché de plus en plus numérique et interconnecté.</w:t>
      </w:r>
    </w:p>
    <w:p>
      <w:pPr>
        <w:jc w:val="both"/>
        <w:rPr>
          <w:lang w:val="fr-FR"/>
        </w:rPr>
      </w:pPr>
    </w:p>
    <w:p>
      <w:pPr>
        <w:suppressAutoHyphens w:val="0"/>
        <w:spacing w:before="100" w:beforeAutospacing="1" w:after="100" w:afterAutospacing="1"/>
        <w:rPr>
          <w:rStyle w:val="--l"/>
          <w:lang w:val="fr-FR"/>
        </w:rPr>
      </w:pPr>
      <w:r>
        <w:rPr>
          <w:rStyle w:val="--l"/>
          <w:lang w:val="fr-FR"/>
        </w:rPr>
        <w:t>Des leaders de l’industrie tels que Showdown Displays Europe, Aura Graphics, Richnerstutz, Storio Group and Oxy ont intégré avec succès les solutions de OneVision pour rationaliser leur flux de production.</w:t>
      </w:r>
    </w:p>
    <w:p>
      <w:pPr>
        <w:suppressAutoHyphens w:val="0"/>
        <w:spacing w:before="100" w:beforeAutospacing="1" w:after="100" w:afterAutospacing="1"/>
        <w:rPr>
          <w:rFonts w:eastAsiaTheme="minorHAnsi"/>
          <w:b/>
          <w:bCs/>
          <w:lang w:val="fr-FR"/>
        </w:rPr>
      </w:pPr>
      <w:r>
        <w:rPr>
          <w:rFonts w:eastAsiaTheme="minorHAnsi"/>
          <w:b/>
          <w:bCs/>
          <w:lang w:val="fr-FR"/>
        </w:rPr>
        <w:t>Suivi et contrôle de la production numérique avec Stations</w:t>
      </w:r>
    </w:p>
    <w:p>
      <w:pPr>
        <w:suppressAutoHyphens w:val="0"/>
        <w:spacing w:before="100" w:beforeAutospacing="1" w:after="100" w:afterAutospacing="1"/>
        <w:jc w:val="both"/>
        <w:rPr>
          <w:rStyle w:val="--l"/>
          <w:lang w:val="fr-FR"/>
        </w:rPr>
      </w:pPr>
      <w:r>
        <w:rPr>
          <w:rStyle w:val="--l"/>
          <w:lang w:val="fr-FR"/>
        </w:rPr>
        <w:t>Le logiciel Stations de OneVision, l’un des produits les plus récents de la gamme, améliore l’automatisation en intégrant les tâches manuelles (couture, arrondissage des coins, pose d'œillets, etc.) et les machines analogiques dans les flux de travail numériques. La solution minimalise les erreurs grâce à des instructions étape par étape, fournit un retour d’information en temps réel et améliore le suivi et les accords de niveau de service grâce à des mises à jour de l'état d'avancement.</w:t>
      </w:r>
    </w:p>
    <w:p>
      <w:pPr>
        <w:pStyle w:val="NormalWeb"/>
        <w:jc w:val="both"/>
        <w:rPr>
          <w:rStyle w:val="--l"/>
          <w:rFonts w:ascii="Univers 55" w:hAnsi="Univers 55"/>
          <w:sz w:val="20"/>
          <w:lang w:val="fr-FR"/>
        </w:rPr>
      </w:pPr>
      <w:r>
        <w:rPr>
          <w:rFonts w:ascii="Univers 55" w:eastAsiaTheme="minorHAnsi" w:hAnsi="Univers 55"/>
          <w:b/>
          <w:bCs/>
          <w:sz w:val="20"/>
          <w:lang w:val="fr-FR"/>
        </w:rPr>
        <w:lastRenderedPageBreak/>
        <w:t xml:space="preserve">Interaction sans faille avec les systèmes existants </w:t>
      </w:r>
      <w:r>
        <w:rPr>
          <w:rFonts w:ascii="Univers 55" w:eastAsiaTheme="minorHAnsi" w:hAnsi="Univers 55"/>
          <w:b/>
          <w:bCs/>
          <w:sz w:val="20"/>
          <w:lang w:val="fr-FR"/>
        </w:rPr>
        <w:br/>
      </w:r>
      <w:r>
        <w:rPr>
          <w:rFonts w:ascii="Univers 55" w:eastAsiaTheme="minorHAnsi" w:hAnsi="Univers 55"/>
          <w:b/>
          <w:bCs/>
          <w:sz w:val="20"/>
          <w:lang w:val="fr-FR"/>
        </w:rPr>
        <w:br/>
      </w:r>
      <w:r>
        <w:rPr>
          <w:rStyle w:val="--l"/>
          <w:rFonts w:ascii="Univers 55" w:hAnsi="Univers 55"/>
          <w:sz w:val="20"/>
          <w:lang w:val="fr-FR"/>
        </w:rPr>
        <w:t>L’échange de données structurés facilite l’intégration du logiciel OneVision dans l’environnement informatique de l’imprimeur. Les intégrations frontales avec la boutique en ligne, le MIS, l’ERP et les intégrations dorsales avec le DFE, le RIP, les presses et les systèmes de finition fournissent la connectivité nécessaire.</w:t>
      </w:r>
    </w:p>
    <w:p>
      <w:pPr>
        <w:pStyle w:val="NormalWeb"/>
        <w:jc w:val="both"/>
        <w:rPr>
          <w:rStyle w:val="--l"/>
          <w:rFonts w:ascii="Univers 55" w:hAnsi="Univers 55"/>
          <w:sz w:val="20"/>
          <w:lang w:val="fr-FR"/>
        </w:rPr>
      </w:pPr>
    </w:p>
    <w:p>
      <w:pPr>
        <w:pStyle w:val="NormalWeb"/>
        <w:jc w:val="both"/>
        <w:rPr>
          <w:rStyle w:val="--l"/>
          <w:rFonts w:ascii="Univers 55" w:hAnsi="Univers 55"/>
          <w:sz w:val="20"/>
          <w:lang w:val="fr-FR"/>
        </w:rPr>
      </w:pPr>
      <w:r>
        <w:rPr>
          <w:rStyle w:val="--l"/>
          <w:rFonts w:ascii="Univers 55" w:hAnsi="Univers 55"/>
          <w:sz w:val="20"/>
          <w:lang w:val="fr-FR"/>
        </w:rPr>
        <w:t>Les intégrations avec des nombreux fabricants de systèmes et de matériel dans le monde entier, tels que Günther advanter, Dataline, Canon, HP Indigo, Zünd, Kongsberg, Fotoba, ColorGate et bien d’autres encore, garantissent une intégration rapide et facile. Les visiteurs du stand OneVision peuvent découvrir la connectivité sur un poste de travail, par exemple lors de démonstrations conjointes avec des partenaires ERP/MIS.</w:t>
      </w:r>
    </w:p>
    <w:p>
      <w:pPr>
        <w:pStyle w:val="NormalWeb"/>
        <w:jc w:val="both"/>
        <w:rPr>
          <w:rStyle w:val="--l"/>
          <w:rFonts w:ascii="Univers 55" w:hAnsi="Univers 55"/>
          <w:sz w:val="20"/>
          <w:lang w:val="fr-FR"/>
        </w:rPr>
      </w:pPr>
      <w:r>
        <w:rPr>
          <w:rStyle w:val="--l"/>
          <w:rFonts w:ascii="Univers 55" w:hAnsi="Univers 55"/>
          <w:sz w:val="20"/>
          <w:lang w:val="fr-FR"/>
        </w:rPr>
        <w:br/>
        <w:t>En plus de son propre stand C25 dans le hall 25, OneVision sera également présent sur le stand de son partenaire Canon Europe. Les visiteurs pourront découvrir l’automatisation du flux de travail en action, démontrant ainsi la valeur d’un processus de production intégré.</w:t>
      </w:r>
    </w:p>
    <w:p>
      <w:pPr>
        <w:rPr>
          <w:rFonts w:eastAsiaTheme="minorHAnsi"/>
          <w:lang w:val="fr-FR"/>
        </w:rPr>
      </w:pPr>
    </w:p>
    <w:p>
      <w:pPr>
        <w:rPr>
          <w:rFonts w:eastAsiaTheme="minorHAnsi"/>
          <w:b/>
          <w:bCs/>
          <w:sz w:val="18"/>
          <w:szCs w:val="18"/>
          <w:lang w:val="fr-FR"/>
        </w:rPr>
      </w:pPr>
      <w:r>
        <w:rPr>
          <w:rFonts w:eastAsiaTheme="minorHAnsi"/>
          <w:b/>
          <w:bCs/>
          <w:sz w:val="18"/>
          <w:szCs w:val="18"/>
          <w:lang w:val="fr-FR"/>
        </w:rPr>
        <w:t>À propos de OneVision Software AG</w:t>
      </w:r>
    </w:p>
    <w:p>
      <w:pPr>
        <w:jc w:val="both"/>
        <w:rPr>
          <w:rFonts w:eastAsiaTheme="minorHAnsi"/>
          <w:sz w:val="18"/>
          <w:szCs w:val="18"/>
          <w:lang w:val="fr-FR"/>
        </w:rPr>
      </w:pPr>
      <w:r>
        <w:rPr>
          <w:rStyle w:val="Strong"/>
          <w:rFonts w:ascii="Calibri" w:hAnsi="Calibri" w:cs="Calibri"/>
          <w:b w:val="0"/>
          <w:sz w:val="18"/>
          <w:szCs w:val="18"/>
          <w:lang w:val="fr-FR"/>
        </w:rPr>
        <w:br/>
      </w:r>
      <w:r>
        <w:rPr>
          <w:rFonts w:eastAsiaTheme="minorHAnsi"/>
          <w:sz w:val="18"/>
          <w:szCs w:val="18"/>
          <w:lang w:val="fr-FR"/>
        </w:rPr>
        <w:t>OneVision Software AG est un fabricant international de logiciels pour l’automatisation des processus de production dans les secteurs de l’impression et de l’édition ainsi que dans de nombreux autres segments industriels. Depuis près de 30 ans, les solutions d’automatisation de l’entreprise ont permis à plus de 3 000 clients dans le monde d’accroître leur rentabilité. Le groupe OneVision, actif à l’échelle mondiale, comprend des entités en Allemagne, aux États-Unis, en Grande-Bretagne, en France, au Brésil, à Singapour et en Inde.</w:t>
      </w:r>
    </w:p>
    <w:p>
      <w:pPr>
        <w:suppressAutoHyphens w:val="0"/>
        <w:autoSpaceDE w:val="0"/>
        <w:autoSpaceDN w:val="0"/>
        <w:adjustRightInd w:val="0"/>
        <w:jc w:val="both"/>
        <w:rPr>
          <w:rFonts w:eastAsiaTheme="minorHAnsi"/>
          <w:sz w:val="18"/>
          <w:szCs w:val="18"/>
          <w:lang w:val="fr-FR"/>
        </w:rPr>
      </w:pPr>
    </w:p>
    <w:p>
      <w:pPr>
        <w:rPr>
          <w:b/>
          <w:sz w:val="16"/>
          <w:szCs w:val="16"/>
          <w:lang w:val="fr-FR"/>
        </w:rPr>
      </w:pPr>
      <w:r>
        <w:rPr>
          <w:b/>
          <w:sz w:val="16"/>
          <w:szCs w:val="16"/>
          <w:lang w:val="fr-FR"/>
        </w:rPr>
        <w:t xml:space="preserve">Crédits photos : </w:t>
      </w:r>
    </w:p>
    <w:p>
      <w:pPr>
        <w:rPr>
          <w:b/>
          <w:sz w:val="16"/>
          <w:szCs w:val="16"/>
          <w:lang w:val="fr-FR"/>
        </w:rPr>
      </w:pPr>
    </w:p>
    <w:p>
      <w:pPr>
        <w:rPr>
          <w:b/>
          <w:sz w:val="16"/>
          <w:szCs w:val="16"/>
          <w:lang w:val="fr-FR"/>
        </w:rPr>
      </w:pPr>
      <w:r>
        <w:rPr>
          <w:noProof/>
        </w:rPr>
        <w:drawing>
          <wp:inline distT="0" distB="0" distL="0" distR="0">
            <wp:extent cx="3910945" cy="25046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3904" cy="2519364"/>
                    </a:xfrm>
                    <a:prstGeom prst="rect">
                      <a:avLst/>
                    </a:prstGeom>
                    <a:noFill/>
                    <a:ln>
                      <a:noFill/>
                    </a:ln>
                  </pic:spPr>
                </pic:pic>
              </a:graphicData>
            </a:graphic>
          </wp:inline>
        </w:drawing>
      </w:r>
    </w:p>
    <w:p>
      <w:pPr>
        <w:rPr>
          <w:b/>
          <w:sz w:val="16"/>
          <w:szCs w:val="16"/>
          <w:lang w:val="fr-FR"/>
        </w:rPr>
      </w:pPr>
    </w:p>
    <w:p>
      <w:pPr>
        <w:pStyle w:val="NormalWeb"/>
        <w:rPr>
          <w:rFonts w:ascii="Univers 55" w:eastAsiaTheme="minorHAnsi" w:hAnsi="Univers 55"/>
          <w:i/>
          <w:sz w:val="16"/>
          <w:szCs w:val="16"/>
          <w:lang w:val="fr-FR"/>
        </w:rPr>
      </w:pPr>
      <w:r>
        <w:rPr>
          <w:rFonts w:ascii="Univers 55" w:eastAsiaTheme="minorHAnsi" w:hAnsi="Univers 55"/>
          <w:i/>
          <w:sz w:val="16"/>
          <w:szCs w:val="16"/>
          <w:lang w:val="fr-FR"/>
        </w:rPr>
        <w:t xml:space="preserve">Image 1 : Automatisation de processus de production à FESPA Berlin avec </w:t>
      </w:r>
      <w:proofErr w:type="spellStart"/>
      <w:r>
        <w:rPr>
          <w:rFonts w:ascii="Univers 55" w:eastAsiaTheme="minorHAnsi" w:hAnsi="Univers 55"/>
          <w:i/>
          <w:sz w:val="16"/>
          <w:szCs w:val="16"/>
          <w:lang w:val="fr-FR"/>
        </w:rPr>
        <w:t>OneVision</w:t>
      </w:r>
      <w:proofErr w:type="spellEnd"/>
      <w:r>
        <w:rPr>
          <w:rFonts w:ascii="Univers 55" w:eastAsiaTheme="minorHAnsi" w:hAnsi="Univers 55"/>
          <w:i/>
          <w:sz w:val="16"/>
          <w:szCs w:val="16"/>
          <w:lang w:val="fr-FR"/>
        </w:rPr>
        <w:t xml:space="preserve"> Software</w:t>
      </w:r>
    </w:p>
    <w:p>
      <w:pPr>
        <w:pStyle w:val="NormalWeb"/>
        <w:rPr>
          <w:sz w:val="16"/>
          <w:szCs w:val="16"/>
          <w:lang w:val="fr-FR"/>
        </w:rPr>
      </w:pPr>
    </w:p>
    <w:p>
      <w:pPr>
        <w:rPr>
          <w:sz w:val="16"/>
          <w:szCs w:val="16"/>
          <w:lang w:val="fr-FR"/>
        </w:rPr>
      </w:pPr>
      <w:r>
        <w:rPr>
          <w:noProof/>
          <w:sz w:val="16"/>
          <w:szCs w:val="16"/>
          <w:lang w:val="fr-FR" w:eastAsia="de-DE"/>
        </w:rPr>
        <w:drawing>
          <wp:inline distT="0" distB="0" distL="0" distR="0">
            <wp:extent cx="1272209" cy="363468"/>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3992" cy="363977"/>
                    </a:xfrm>
                    <a:prstGeom prst="rect">
                      <a:avLst/>
                    </a:prstGeom>
                  </pic:spPr>
                </pic:pic>
              </a:graphicData>
            </a:graphic>
          </wp:inline>
        </w:drawing>
      </w:r>
    </w:p>
    <w:p>
      <w:pPr>
        <w:rPr>
          <w:b/>
          <w:sz w:val="16"/>
          <w:szCs w:val="16"/>
          <w:lang w:val="fr-FR"/>
        </w:rPr>
      </w:pPr>
    </w:p>
    <w:p>
      <w:pPr>
        <w:pStyle w:val="NormalWeb"/>
        <w:rPr>
          <w:rFonts w:ascii="Univers 55" w:eastAsiaTheme="minorHAnsi" w:hAnsi="Univers 55"/>
          <w:i/>
          <w:sz w:val="16"/>
          <w:szCs w:val="16"/>
          <w:lang w:val="fr-FR"/>
        </w:rPr>
      </w:pPr>
      <w:r>
        <w:rPr>
          <w:rFonts w:ascii="Univers 55" w:eastAsiaTheme="minorHAnsi" w:hAnsi="Univers 55"/>
          <w:i/>
          <w:sz w:val="16"/>
          <w:szCs w:val="16"/>
          <w:lang w:val="fr-FR"/>
        </w:rPr>
        <w:t>Image 2 : Logo OneVision Software</w:t>
      </w:r>
    </w:p>
    <w:p>
      <w:pPr>
        <w:pStyle w:val="Headline2"/>
        <w:rPr>
          <w:rFonts w:eastAsiaTheme="minorHAnsi"/>
          <w:noProof w:val="0"/>
          <w:sz w:val="16"/>
          <w:szCs w:val="16"/>
          <w:lang w:val="fr-FR"/>
        </w:rPr>
      </w:pPr>
    </w:p>
    <w:p>
      <w:pPr>
        <w:rPr>
          <w:b/>
          <w:bCs/>
          <w:sz w:val="16"/>
          <w:szCs w:val="16"/>
          <w:lang w:val="fr-FR"/>
        </w:rPr>
      </w:pPr>
      <w:r>
        <w:rPr>
          <w:b/>
          <w:bCs/>
          <w:sz w:val="16"/>
          <w:szCs w:val="16"/>
          <w:lang w:val="fr-FR"/>
        </w:rPr>
        <w:t>Contact presse :</w:t>
      </w:r>
      <w:r>
        <w:rPr>
          <w:b/>
          <w:bCs/>
          <w:sz w:val="16"/>
          <w:szCs w:val="16"/>
          <w:lang w:val="fr-FR"/>
        </w:rPr>
        <w:tab/>
      </w:r>
      <w:r>
        <w:rPr>
          <w:b/>
          <w:bCs/>
          <w:sz w:val="16"/>
          <w:szCs w:val="16"/>
          <w:lang w:val="fr-FR"/>
        </w:rPr>
        <w:tab/>
      </w:r>
      <w:r>
        <w:rPr>
          <w:b/>
          <w:bCs/>
          <w:sz w:val="16"/>
          <w:szCs w:val="16"/>
          <w:lang w:val="fr-FR"/>
        </w:rPr>
        <w:tab/>
      </w:r>
      <w:r>
        <w:rPr>
          <w:b/>
          <w:bCs/>
          <w:sz w:val="16"/>
          <w:szCs w:val="16"/>
          <w:lang w:val="fr-FR"/>
        </w:rPr>
        <w:tab/>
      </w:r>
      <w:r>
        <w:rPr>
          <w:b/>
          <w:bCs/>
          <w:sz w:val="16"/>
          <w:szCs w:val="16"/>
          <w:lang w:val="fr-FR"/>
        </w:rPr>
        <w:tab/>
      </w:r>
      <w:r>
        <w:rPr>
          <w:b/>
          <w:bCs/>
          <w:sz w:val="16"/>
          <w:szCs w:val="16"/>
          <w:lang w:val="fr-FR"/>
        </w:rPr>
        <w:tab/>
      </w:r>
      <w:r>
        <w:rPr>
          <w:sz w:val="16"/>
          <w:szCs w:val="16"/>
          <w:lang w:val="fr-FR"/>
        </w:rPr>
        <w:tab/>
      </w:r>
      <w:r>
        <w:rPr>
          <w:sz w:val="16"/>
          <w:szCs w:val="16"/>
          <w:lang w:val="fr-FR"/>
        </w:rPr>
        <w:tab/>
      </w:r>
      <w:r>
        <w:rPr>
          <w:sz w:val="16"/>
          <w:szCs w:val="16"/>
          <w:lang w:val="fr-FR"/>
        </w:rPr>
        <w:tab/>
      </w:r>
      <w:r>
        <w:rPr>
          <w:sz w:val="16"/>
          <w:szCs w:val="16"/>
          <w:lang w:val="fr-FR"/>
        </w:rPr>
        <w:tab/>
      </w:r>
      <w:r>
        <w:rPr>
          <w:sz w:val="16"/>
          <w:szCs w:val="16"/>
          <w:lang w:val="fr-FR"/>
        </w:rPr>
        <w:tab/>
      </w:r>
    </w:p>
    <w:p>
      <w:pPr>
        <w:rPr>
          <w:sz w:val="16"/>
          <w:szCs w:val="16"/>
          <w:lang w:val="fr-FR"/>
        </w:rPr>
      </w:pPr>
      <w:r>
        <w:rPr>
          <w:sz w:val="16"/>
          <w:szCs w:val="16"/>
          <w:lang w:val="fr-FR"/>
        </w:rPr>
        <w:t>Dorottya Turóczy-Topa</w:t>
      </w:r>
      <w:r>
        <w:rPr>
          <w:sz w:val="16"/>
          <w:szCs w:val="16"/>
          <w:lang w:val="fr-FR"/>
        </w:rPr>
        <w:tab/>
      </w:r>
      <w:r>
        <w:rPr>
          <w:sz w:val="16"/>
          <w:szCs w:val="16"/>
          <w:lang w:val="fr-FR"/>
        </w:rPr>
        <w:tab/>
      </w:r>
      <w:r>
        <w:rPr>
          <w:sz w:val="16"/>
          <w:szCs w:val="16"/>
          <w:lang w:val="fr-FR"/>
        </w:rPr>
        <w:tab/>
      </w:r>
      <w:r>
        <w:rPr>
          <w:sz w:val="16"/>
          <w:szCs w:val="16"/>
          <w:lang w:val="fr-FR"/>
        </w:rPr>
        <w:tab/>
      </w:r>
      <w:r>
        <w:rPr>
          <w:sz w:val="16"/>
          <w:szCs w:val="16"/>
          <w:lang w:val="fr-FR"/>
        </w:rPr>
        <w:tab/>
      </w:r>
    </w:p>
    <w:p>
      <w:pPr>
        <w:rPr>
          <w:sz w:val="16"/>
          <w:szCs w:val="16"/>
          <w:lang w:val="fr-FR"/>
        </w:rPr>
      </w:pPr>
      <w:r>
        <w:rPr>
          <w:sz w:val="16"/>
          <w:szCs w:val="16"/>
          <w:lang w:val="fr-FR"/>
        </w:rPr>
        <w:t>+49 941 78004 450</w:t>
      </w:r>
      <w:r>
        <w:rPr>
          <w:sz w:val="16"/>
          <w:szCs w:val="16"/>
          <w:lang w:val="fr-FR"/>
        </w:rPr>
        <w:tab/>
      </w:r>
      <w:r>
        <w:rPr>
          <w:sz w:val="16"/>
          <w:szCs w:val="16"/>
          <w:lang w:val="fr-FR"/>
        </w:rPr>
        <w:tab/>
      </w:r>
      <w:r>
        <w:rPr>
          <w:sz w:val="16"/>
          <w:szCs w:val="16"/>
          <w:lang w:val="fr-FR"/>
        </w:rPr>
        <w:tab/>
      </w:r>
      <w:r>
        <w:rPr>
          <w:sz w:val="16"/>
          <w:szCs w:val="16"/>
          <w:lang w:val="fr-FR"/>
        </w:rPr>
        <w:tab/>
      </w:r>
    </w:p>
    <w:p>
      <w:pPr>
        <w:rPr>
          <w:rStyle w:val="Hyperlink"/>
          <w:rFonts w:ascii="Univers LT Std 55" w:hAnsi="Univers LT Std 55"/>
        </w:rPr>
      </w:pPr>
      <w:hyperlink r:id="rId10" w:history="1">
        <w:r>
          <w:rPr>
            <w:rStyle w:val="Hyperlink"/>
            <w:rFonts w:ascii="Univers LT Std 55" w:hAnsi="Univers LT Std 55"/>
            <w:sz w:val="16"/>
            <w:szCs w:val="16"/>
            <w:lang w:val="fr-FR"/>
          </w:rPr>
          <w:t>dorottya.turoczy-topa@onevision.com</w:t>
        </w:r>
      </w:hyperlink>
    </w:p>
    <w:p>
      <w:pPr>
        <w:rPr>
          <w:rFonts w:ascii="Univers LT Std 55" w:hAnsi="Univers LT Std 55"/>
          <w:sz w:val="16"/>
          <w:szCs w:val="16"/>
          <w:lang w:val="fr-FR"/>
        </w:rPr>
      </w:pPr>
      <w:hyperlink r:id="rId11" w:history="1">
        <w:r>
          <w:rPr>
            <w:rStyle w:val="Hyperlink"/>
            <w:rFonts w:ascii="Univers LT Std 55" w:hAnsi="Univers LT Std 55"/>
            <w:sz w:val="16"/>
            <w:szCs w:val="16"/>
            <w:lang w:val="fr-FR"/>
          </w:rPr>
          <w:t>www.onevision.com</w:t>
        </w:r>
      </w:hyperlink>
    </w:p>
    <w:sectPr>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50.95pt;height:50.95pt" o:bullet="t">
        <v:imagedata r:id="rId1" o:title="Icon_Aufzählung_Orange"/>
      </v:shape>
    </w:pict>
  </w:numPicBullet>
  <w:numPicBullet w:numPicBulletId="1">
    <w:pict>
      <v:shape id="_x0000_i1071" type="#_x0000_t75" style="width:50.95pt;height:50.9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eastAsia="ar-SA"/>
    </w:rPr>
  </w:style>
  <w:style w:type="paragraph" w:styleId="Heading1">
    <w:name w:val="heading 1"/>
    <w:basedOn w:val="Normal"/>
    <w:next w:val="Normal"/>
    <w:pPr>
      <w:keepNext/>
      <w:outlineLvl w:val="0"/>
    </w:pPr>
    <w:rPr>
      <w:rFonts w:ascii="Univers" w:hAnsi="Univers"/>
      <w:b/>
      <w:bCs/>
      <w:sz w:val="28"/>
      <w:szCs w:val="28"/>
    </w:rPr>
  </w:style>
  <w:style w:type="paragraph" w:styleId="Heading2">
    <w:name w:val="heading 2"/>
    <w:aliases w:val="Headline 1"/>
    <w:basedOn w:val="Normal"/>
    <w:next w:val="Normal"/>
    <w:qFormat/>
    <w:pPr>
      <w:keepNext/>
      <w:outlineLvl w:val="1"/>
    </w:pPr>
    <w:rPr>
      <w:b/>
      <w:bCs/>
      <w:caps/>
      <w:sz w:val="32"/>
      <w:szCs w:val="32"/>
    </w:rPr>
  </w:style>
  <w:style w:type="paragraph" w:styleId="Heading3">
    <w:name w:val="heading 3"/>
    <w:basedOn w:val="Normal"/>
    <w:next w:val="Normal"/>
    <w:pPr>
      <w:keepNext/>
      <w:outlineLvl w:val="2"/>
    </w:pPr>
    <w:rPr>
      <w:rFonts w:ascii="Univers" w:hAnsi="Univers"/>
      <w:b/>
      <w:bCs/>
      <w:szCs w:val="22"/>
      <w:u w:val="single"/>
    </w:rPr>
  </w:style>
  <w:style w:type="paragraph" w:styleId="Heading4">
    <w:name w:val="heading 4"/>
    <w:basedOn w:val="Normal"/>
    <w:next w:val="Normal"/>
    <w:pPr>
      <w:keepNext/>
      <w:outlineLvl w:val="3"/>
    </w:pPr>
    <w:rPr>
      <w:rFonts w:ascii="Univers" w:hAnsi="Univers"/>
      <w:b/>
      <w:bCs/>
      <w:szCs w:val="22"/>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rPr>
  </w:style>
  <w:style w:type="paragraph" w:styleId="Heading7">
    <w:name w:val="heading 7"/>
    <w:basedOn w:val="Normal"/>
    <w:next w:val="Normal"/>
    <w:pPr>
      <w:keepNext/>
      <w:outlineLvl w:val="6"/>
    </w:pPr>
    <w:rPr>
      <w:rFonts w:ascii="Univers" w:hAnsi="Univers"/>
      <w:i/>
      <w:iCs/>
      <w:szCs w:val="22"/>
    </w:rPr>
  </w:style>
  <w:style w:type="paragraph" w:styleId="Heading9">
    <w:name w:val="heading 9"/>
    <w:aliases w:val="Headline 3"/>
    <w:basedOn w:val="Normal"/>
    <w:next w:val="Normal"/>
    <w:pPr>
      <w:keepNext/>
      <w:outlineLvl w:val="8"/>
    </w:pPr>
    <w:rPr>
      <w:rFonts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rPr>
  </w:style>
  <w:style w:type="paragraph" w:customStyle="1" w:styleId="Textkrper-Einzug21">
    <w:name w:val="Textkörper-Einzug 21"/>
    <w:basedOn w:val="Normal"/>
    <w:pPr>
      <w:ind w:left="180" w:hanging="180"/>
    </w:pPr>
    <w:rPr>
      <w:rFonts w:ascii="Arial" w:hAnsi="Arial" w:cs="Arial"/>
      <w:color w:val="0000FF"/>
    </w:rPr>
  </w:style>
  <w:style w:type="paragraph" w:customStyle="1" w:styleId="Textkrper-Einzug31">
    <w:name w:val="Textkörper-Einzug 31"/>
    <w:basedOn w:val="Normal"/>
    <w:pPr>
      <w:ind w:left="180"/>
    </w:pPr>
    <w:rPr>
      <w:rFonts w:ascii="Arial" w:hAnsi="Arial" w:cs="Arial"/>
      <w:color w:val="0000FF"/>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rPr>
  </w:style>
  <w:style w:type="paragraph" w:customStyle="1" w:styleId="Textkrper21">
    <w:name w:val="Textkörper 21"/>
    <w:basedOn w:val="Normal"/>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TOC2"/>
    <w:link w:val="TOCHeadingsChar"/>
    <w:pPr>
      <w:tabs>
        <w:tab w:val="left" w:pos="450"/>
        <w:tab w:val="left" w:pos="1170"/>
        <w:tab w:val="right" w:leader="dot" w:pos="9059"/>
      </w:tabs>
      <w:ind w:left="0"/>
    </w:pPr>
    <w:rPr>
      <w:noProof/>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DefaultParagraphFont"/>
  </w:style>
  <w:style w:type="character" w:customStyle="1" w:styleId="--l">
    <w:name w:val="--l"/>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099913378">
      <w:bodyDiv w:val="1"/>
      <w:marLeft w:val="0"/>
      <w:marRight w:val="0"/>
      <w:marTop w:val="0"/>
      <w:marBottom w:val="0"/>
      <w:divBdr>
        <w:top w:val="none" w:sz="0" w:space="0" w:color="auto"/>
        <w:left w:val="none" w:sz="0" w:space="0" w:color="auto"/>
        <w:bottom w:val="none" w:sz="0" w:space="0" w:color="auto"/>
        <w:right w:val="none" w:sz="0" w:space="0" w:color="auto"/>
      </w:divBdr>
      <w:divsChild>
        <w:div w:id="1100297078">
          <w:marLeft w:val="0"/>
          <w:marRight w:val="0"/>
          <w:marTop w:val="0"/>
          <w:marBottom w:val="0"/>
          <w:divBdr>
            <w:top w:val="none" w:sz="0" w:space="0" w:color="auto"/>
            <w:left w:val="none" w:sz="0" w:space="0" w:color="auto"/>
            <w:bottom w:val="none" w:sz="0" w:space="0" w:color="auto"/>
            <w:right w:val="none" w:sz="0" w:space="0" w:color="auto"/>
          </w:divBdr>
          <w:divsChild>
            <w:div w:id="2053385955">
              <w:marLeft w:val="0"/>
              <w:marRight w:val="0"/>
              <w:marTop w:val="0"/>
              <w:marBottom w:val="0"/>
              <w:divBdr>
                <w:top w:val="none" w:sz="0" w:space="0" w:color="auto"/>
                <w:left w:val="none" w:sz="0" w:space="0" w:color="auto"/>
                <w:bottom w:val="none" w:sz="0" w:space="0" w:color="auto"/>
                <w:right w:val="none" w:sz="0" w:space="0" w:color="auto"/>
              </w:divBdr>
              <w:divsChild>
                <w:div w:id="7930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rottya.turoczy-topa@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766</Words>
  <Characters>4829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Dorottya Turóczy-Topa</cp:lastModifiedBy>
  <cp:revision>16</cp:revision>
  <cp:lastPrinted>2022-05-02T12:13:00Z</cp:lastPrinted>
  <dcterms:created xsi:type="dcterms:W3CDTF">2025-03-13T15:08:00Z</dcterms:created>
  <dcterms:modified xsi:type="dcterms:W3CDTF">2025-03-21T12:55:00Z</dcterms:modified>
</cp:coreProperties>
</file>