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pPr>
      <w:r>
        <w:t>PRESS RELEASE</w:t>
      </w:r>
    </w:p>
    <w:p>
      <w:pPr>
        <w:rPr>
          <w:b/>
          <w:sz w:val="24"/>
        </w:rPr>
      </w:pPr>
    </w:p>
    <w:p>
      <w:pPr>
        <w:rPr>
          <w:b/>
          <w:sz w:val="24"/>
        </w:rPr>
      </w:pPr>
      <w:r>
        <w:rPr>
          <w:b/>
          <w:sz w:val="24"/>
        </w:rPr>
        <w:t>Connection, Collaboration &amp; Expertise – OneVision Joins Partners’ Events in Autumn 2025</w:t>
      </w:r>
    </w:p>
    <w:p>
      <w:pPr>
        <w:rPr>
          <w:b/>
          <w:sz w:val="24"/>
        </w:rPr>
      </w:pPr>
    </w:p>
    <w:p>
      <w:pPr>
        <w:suppressAutoHyphens w:val="0"/>
        <w:jc w:val="both"/>
        <w:rPr>
          <w:b/>
          <w:bCs/>
          <w:szCs w:val="20"/>
          <w:lang w:val="en-GB" w:eastAsia="de-DE"/>
        </w:rPr>
      </w:pPr>
      <w:r>
        <w:rPr>
          <w:b/>
          <w:bCs/>
          <w:szCs w:val="20"/>
          <w:lang w:eastAsia="de-DE"/>
        </w:rPr>
        <w:t xml:space="preserve">Uncomplicated and fast connectivity to existing systems is a core principle behind </w:t>
      </w:r>
      <w:r>
        <w:rPr>
          <w:b/>
          <w:bCs/>
          <w:szCs w:val="20"/>
          <w:lang w:val="en-GB" w:eastAsia="de-DE"/>
        </w:rPr>
        <w:t>OneVision Software’s solutions. As a leading provider of workflow automation, OneVision will join events hosted by its cooperation and integration partners this autumn, showcasing how connected print production keeps businesses one step ahead.</w:t>
      </w:r>
    </w:p>
    <w:p>
      <w:pPr>
        <w:jc w:val="both"/>
        <w:rPr>
          <w:rFonts w:asciiTheme="minorHAnsi" w:hAnsiTheme="minorHAnsi" w:cstheme="minorHAnsi"/>
          <w:sz w:val="24"/>
          <w:lang w:val="en-GB"/>
        </w:rPr>
      </w:pPr>
    </w:p>
    <w:p>
      <w:pPr>
        <w:jc w:val="both"/>
        <w:rPr>
          <w:rFonts w:eastAsiaTheme="minorHAnsi"/>
        </w:rPr>
      </w:pPr>
      <w:r>
        <w:rPr>
          <w:rFonts w:eastAsiaTheme="minorHAnsi"/>
          <w:b/>
          <w:bCs/>
        </w:rPr>
        <w:t>Regensburg</w:t>
      </w:r>
      <w:r>
        <w:rPr>
          <w:rFonts w:eastAsiaTheme="minorHAnsi"/>
        </w:rPr>
        <w:t xml:space="preserve"> – In September, OneVision’s partners, swissQprint, Canon and Horizon will host a series of exciting events. As a specialist in modular automation software, OneVision will demonstrate cutting-edge solutions designed to optimize production processes.</w:t>
      </w:r>
    </w:p>
    <w:p>
      <w:pPr>
        <w:jc w:val="both"/>
        <w:rPr>
          <w:rFonts w:eastAsiaTheme="minorHAnsi"/>
        </w:rPr>
      </w:pPr>
    </w:p>
    <w:p>
      <w:pPr>
        <w:rPr>
          <w:rFonts w:eastAsiaTheme="minorHAnsi"/>
          <w:b/>
          <w:bCs/>
        </w:rPr>
      </w:pPr>
      <w:r>
        <w:rPr>
          <w:rFonts w:eastAsiaTheme="minorHAnsi"/>
          <w:b/>
          <w:bCs/>
        </w:rPr>
        <w:t>Make your wide format printing more profitable</w:t>
      </w:r>
    </w:p>
    <w:p>
      <w:pPr>
        <w:jc w:val="both"/>
        <w:rPr>
          <w:rFonts w:eastAsiaTheme="minorHAnsi"/>
          <w:b/>
          <w:bCs/>
        </w:rPr>
      </w:pPr>
    </w:p>
    <w:p>
      <w:pPr>
        <w:jc w:val="both"/>
        <w:rPr>
          <w:rStyle w:val="--l"/>
        </w:rPr>
      </w:pPr>
      <w:r>
        <w:rPr>
          <w:rStyle w:val="--l"/>
        </w:rPr>
        <w:t xml:space="preserve">On </w:t>
      </w:r>
      <w:r>
        <w:rPr>
          <w:rStyle w:val="--l"/>
          <w:b/>
          <w:bCs/>
        </w:rPr>
        <w:t>17 and 18 September 2025</w:t>
      </w:r>
      <w:r>
        <w:rPr>
          <w:rStyle w:val="--l"/>
        </w:rPr>
        <w:t xml:space="preserve">, </w:t>
      </w:r>
      <w:r>
        <w:rPr>
          <w:rStyle w:val="--l"/>
          <w:b/>
          <w:bCs/>
        </w:rPr>
        <w:t xml:space="preserve">swissQprint </w:t>
      </w:r>
      <w:r>
        <w:rPr>
          <w:rStyle w:val="--l"/>
        </w:rPr>
        <w:t xml:space="preserve">will hold its </w:t>
      </w:r>
      <w:r>
        <w:rPr>
          <w:rStyle w:val="--l"/>
          <w:b/>
          <w:bCs/>
        </w:rPr>
        <w:t>Open house</w:t>
      </w:r>
      <w:r>
        <w:rPr>
          <w:rStyle w:val="--l"/>
        </w:rPr>
        <w:t xml:space="preserve"> in </w:t>
      </w:r>
      <w:r>
        <w:rPr>
          <w:rStyle w:val="--l"/>
          <w:b/>
          <w:bCs/>
        </w:rPr>
        <w:t>Kerpen, Germany</w:t>
      </w:r>
      <w:r>
        <w:rPr>
          <w:rStyle w:val="--l"/>
        </w:rPr>
        <w:t>. Visitors can register for either day to receive tailored advice on how to enhance profitability in wide format printing. In the headquarters, alongside insights into the latest technology, participants will also benefit from the expertise of nine partners, discovering new opportunities to diversify and optimize the whole production process.</w:t>
      </w:r>
    </w:p>
    <w:p>
      <w:pPr>
        <w:jc w:val="both"/>
        <w:rPr>
          <w:rStyle w:val="--l"/>
        </w:rPr>
      </w:pPr>
      <w:r>
        <w:rPr>
          <w:rStyle w:val="--l"/>
        </w:rPr>
        <w:t>Stephan Reiter, Sales Director EMEA, Indirect Channels at OneVision, will highlight how intelligent, automated workflows are essential for wide format printing. He will also address secondary benefits, including sustainability advantages such as reducing the carbon footprint.</w:t>
      </w:r>
    </w:p>
    <w:p>
      <w:pPr>
        <w:jc w:val="both"/>
        <w:rPr>
          <w:rStyle w:val="--l"/>
        </w:rPr>
      </w:pPr>
      <w:r>
        <w:rPr>
          <w:rStyle w:val="--l"/>
        </w:rPr>
        <w:t>Attendees can exchange ideas with specialists and network under the event’s motto: “Improve, refine, win a lead!”</w:t>
      </w:r>
    </w:p>
    <w:p>
      <w:pPr>
        <w:jc w:val="both"/>
      </w:pPr>
    </w:p>
    <w:p>
      <w:pPr>
        <w:pStyle w:val="NormalWeb"/>
        <w:rPr>
          <w:rFonts w:ascii="Univers 55" w:eastAsiaTheme="minorHAnsi" w:hAnsi="Univers 55"/>
          <w:b/>
          <w:bCs/>
          <w:sz w:val="20"/>
        </w:rPr>
      </w:pPr>
      <w:r>
        <w:rPr>
          <w:rFonts w:ascii="Univers 55" w:eastAsiaTheme="minorHAnsi" w:hAnsi="Univers 55"/>
          <w:b/>
          <w:bCs/>
          <w:sz w:val="20"/>
        </w:rPr>
        <w:t>Canon Switzerland Exclusive Inkjet Days</w:t>
      </w:r>
    </w:p>
    <w:p>
      <w:pPr>
        <w:pStyle w:val="NormalWeb"/>
        <w:jc w:val="both"/>
        <w:rPr>
          <w:rStyle w:val="--l"/>
          <w:rFonts w:ascii="Univers 55" w:hAnsi="Univers 55"/>
          <w:sz w:val="20"/>
        </w:rPr>
      </w:pPr>
      <w:r>
        <w:rPr>
          <w:rFonts w:ascii="Univers 55" w:eastAsiaTheme="minorHAnsi" w:hAnsi="Univers 55"/>
          <w:b/>
          <w:bCs/>
          <w:sz w:val="20"/>
        </w:rPr>
        <w:br/>
      </w:r>
      <w:r>
        <w:rPr>
          <w:rStyle w:val="--l"/>
          <w:rFonts w:ascii="Univers 55" w:hAnsi="Univers 55"/>
          <w:sz w:val="20"/>
        </w:rPr>
        <w:t xml:space="preserve">On </w:t>
      </w:r>
      <w:r>
        <w:rPr>
          <w:rStyle w:val="--l"/>
          <w:rFonts w:ascii="Univers 55" w:hAnsi="Univers 55"/>
          <w:b/>
          <w:bCs/>
          <w:sz w:val="20"/>
        </w:rPr>
        <w:t>23-24 September 2025</w:t>
      </w:r>
      <w:r>
        <w:rPr>
          <w:rStyle w:val="--l"/>
          <w:rFonts w:ascii="Univers 55" w:hAnsi="Univers 55"/>
          <w:sz w:val="20"/>
        </w:rPr>
        <w:t xml:space="preserve">, </w:t>
      </w:r>
      <w:r>
        <w:rPr>
          <w:rStyle w:val="--l"/>
          <w:rFonts w:ascii="Univers 55" w:hAnsi="Univers 55"/>
          <w:b/>
          <w:bCs/>
          <w:sz w:val="20"/>
        </w:rPr>
        <w:t>Canon Switzerland</w:t>
      </w:r>
      <w:r>
        <w:rPr>
          <w:rStyle w:val="--l"/>
          <w:rFonts w:ascii="Univers 55" w:hAnsi="Univers 55"/>
          <w:sz w:val="20"/>
        </w:rPr>
        <w:t xml:space="preserve"> will host its exclusive</w:t>
      </w:r>
      <w:r>
        <w:rPr>
          <w:rStyle w:val="--l"/>
          <w:rFonts w:ascii="Univers 55" w:hAnsi="Univers 55"/>
          <w:b/>
          <w:bCs/>
          <w:sz w:val="20"/>
        </w:rPr>
        <w:t xml:space="preserve"> VIP Inkjet Days</w:t>
      </w:r>
      <w:r>
        <w:rPr>
          <w:rStyle w:val="--l"/>
          <w:rFonts w:ascii="Univers 55" w:hAnsi="Univers 55"/>
          <w:sz w:val="20"/>
        </w:rPr>
        <w:t xml:space="preserve"> event,</w:t>
      </w:r>
      <w:r>
        <w:t xml:space="preserve"> </w:t>
      </w:r>
      <w:r>
        <w:rPr>
          <w:rStyle w:val="--l"/>
          <w:rFonts w:ascii="Univers 55" w:hAnsi="Univers 55"/>
          <w:sz w:val="20"/>
        </w:rPr>
        <w:t>dedicated to the automation of sheetfed, continuous-feed, and large-format inkjet production. The program is designed to give participants exclusive insights into Canon’s latest inkjet technologies and their applications across commercial, publishing, and transactional print.</w:t>
      </w:r>
    </w:p>
    <w:p>
      <w:pPr>
        <w:pStyle w:val="NormalWeb"/>
        <w:jc w:val="both"/>
        <w:rPr>
          <w:rStyle w:val="--l"/>
          <w:rFonts w:ascii="Univers 55" w:hAnsi="Univers 55"/>
          <w:sz w:val="20"/>
        </w:rPr>
      </w:pPr>
      <w:r>
        <w:rPr>
          <w:rStyle w:val="--l"/>
          <w:rFonts w:ascii="Univers 55" w:hAnsi="Univers 55"/>
          <w:sz w:val="20"/>
        </w:rPr>
        <w:t>As a technology partner, OneVision will showcase how its modular automation software integrates seamlessly with Canon’s high-performance inkjet systems. Intelligent workflows help print providers streamline prepress tasks and print processes, minimize manual intervention, reduce error rates and unlock greater productivity and profitability.</w:t>
      </w:r>
    </w:p>
    <w:p>
      <w:pPr>
        <w:pStyle w:val="NormalWeb"/>
        <w:jc w:val="both"/>
        <w:rPr>
          <w:rStyle w:val="--l"/>
          <w:rFonts w:ascii="Univers 55" w:hAnsi="Univers 55"/>
          <w:sz w:val="20"/>
        </w:rPr>
      </w:pPr>
      <w:r>
        <w:rPr>
          <w:rStyle w:val="--l"/>
          <w:rFonts w:ascii="Univers 55" w:hAnsi="Univers 55"/>
          <w:sz w:val="20"/>
        </w:rPr>
        <w:t>The event offers a valuable platform for professional exchange, enabling to discuss real-world use cases and future market trends with Canon and its partners.</w:t>
      </w:r>
    </w:p>
    <w:p>
      <w:pPr>
        <w:pStyle w:val="NormalWeb"/>
        <w:jc w:val="both"/>
        <w:rPr>
          <w:rStyle w:val="--l"/>
          <w:rFonts w:ascii="Univers 55" w:hAnsi="Univers 55"/>
          <w:sz w:val="20"/>
        </w:rPr>
      </w:pPr>
    </w:p>
    <w:p>
      <w:pPr>
        <w:suppressAutoHyphens w:val="0"/>
        <w:rPr>
          <w:rFonts w:eastAsiaTheme="minorHAnsi"/>
          <w:b/>
          <w:bCs/>
        </w:rPr>
      </w:pPr>
      <w:r>
        <w:rPr>
          <w:rFonts w:eastAsiaTheme="minorHAnsi"/>
          <w:b/>
          <w:bCs/>
        </w:rPr>
        <w:t>Post-Press Processes in the Spotlight</w:t>
      </w:r>
    </w:p>
    <w:p>
      <w:pPr>
        <w:suppressAutoHyphens w:val="0"/>
        <w:jc w:val="both"/>
        <w:rPr>
          <w:rFonts w:eastAsiaTheme="minorHAnsi"/>
        </w:rPr>
      </w:pPr>
    </w:p>
    <w:p>
      <w:pPr>
        <w:suppressAutoHyphens w:val="0"/>
        <w:jc w:val="both"/>
      </w:pPr>
      <w:r>
        <w:rPr>
          <w:rStyle w:val="--l"/>
        </w:rPr>
        <w:t xml:space="preserve">At the end of September, attention will turn to finishing: on </w:t>
      </w:r>
      <w:r>
        <w:rPr>
          <w:rStyle w:val="--l"/>
          <w:b/>
          <w:bCs/>
        </w:rPr>
        <w:t>24-25 September 2025, Horizon</w:t>
      </w:r>
      <w:r>
        <w:rPr>
          <w:rStyle w:val="--l"/>
        </w:rPr>
        <w:t xml:space="preserve"> will open its doors to the renowned event </w:t>
      </w:r>
      <w:r>
        <w:rPr>
          <w:rStyle w:val="--l"/>
          <w:b/>
          <w:bCs/>
        </w:rPr>
        <w:t>Finishing First in Quickborn, Germany.</w:t>
      </w:r>
      <w:r>
        <w:rPr>
          <w:rStyle w:val="--l"/>
        </w:rPr>
        <w:t xml:space="preserve"> The event puts the spotlight on how post-press processes transform printed sheets into high-value products. </w:t>
      </w:r>
      <w:r>
        <w:t>Discussions will focus on how finishing techniques such as extraordinary stitching, folding, laminating, or embellishing can increase the value and impact of print products.</w:t>
      </w:r>
    </w:p>
    <w:p>
      <w:pPr>
        <w:suppressAutoHyphens w:val="0"/>
        <w:jc w:val="both"/>
        <w:rPr>
          <w:rStyle w:val="--l"/>
          <w:lang w:val="en-GB"/>
        </w:rPr>
      </w:pPr>
      <w:r>
        <w:rPr>
          <w:rStyle w:val="--l"/>
        </w:rPr>
        <w:t>Sacha-Vittorio Paolucci, Head of Sales Europe and Boris Büschgens, Solution Consultant will present the latest development by OneVision,</w:t>
      </w:r>
      <w:r>
        <w:t xml:space="preserve"> </w:t>
      </w:r>
      <w:r>
        <w:rPr>
          <w:rStyle w:val="--l"/>
        </w:rPr>
        <w:t>which employs computer vision and artificial intelligence to facilitate the quality control of finished products.</w:t>
      </w:r>
    </w:p>
    <w:p>
      <w:pPr>
        <w:suppressAutoHyphens w:val="0"/>
        <w:jc w:val="both"/>
        <w:rPr>
          <w:rFonts w:eastAsiaTheme="minorHAnsi"/>
          <w:b/>
          <w:bCs/>
        </w:rPr>
      </w:pPr>
      <w:r>
        <w:rPr>
          <w:rStyle w:val="--l"/>
        </w:rPr>
        <w:t>Participants will receive hands-on information about the latest trends in finishing and the possibility to exchange experiences with other industry colleagues.</w:t>
      </w:r>
    </w:p>
    <w:p>
      <w:pPr>
        <w:suppressAutoHyphens w:val="0"/>
        <w:jc w:val="both"/>
        <w:rPr>
          <w:rFonts w:eastAsiaTheme="minorHAnsi"/>
        </w:rPr>
      </w:pPr>
      <w:r>
        <w:rPr>
          <w:lang w:val="en-GB" w:eastAsia="de-DE"/>
        </w:rPr>
        <w:br w:type="page"/>
      </w:r>
    </w:p>
    <w:p>
      <w:pPr>
        <w:rPr>
          <w:rFonts w:eastAsiaTheme="minorHAnsi"/>
          <w:b/>
          <w:bCs/>
          <w:sz w:val="18"/>
          <w:szCs w:val="18"/>
        </w:rPr>
      </w:pPr>
      <w:r>
        <w:rPr>
          <w:rFonts w:eastAsiaTheme="minorHAnsi"/>
          <w:b/>
          <w:bCs/>
          <w:sz w:val="18"/>
          <w:szCs w:val="18"/>
        </w:rPr>
        <w:lastRenderedPageBreak/>
        <w:t>About OneVision Software AG</w:t>
      </w:r>
    </w:p>
    <w:p>
      <w:pPr>
        <w:jc w:val="both"/>
        <w:rPr>
          <w:rFonts w:eastAsiaTheme="minorHAnsi"/>
          <w:sz w:val="18"/>
          <w:szCs w:val="18"/>
        </w:rPr>
      </w:pPr>
      <w:r>
        <w:rPr>
          <w:rStyle w:val="Strong"/>
          <w:rFonts w:ascii="Calibri" w:hAnsi="Calibri" w:cs="Calibri"/>
          <w:b w:val="0"/>
          <w:sz w:val="18"/>
          <w:szCs w:val="18"/>
        </w:rPr>
        <w:br/>
      </w:r>
      <w:r>
        <w:rPr>
          <w:rFonts w:eastAsiaTheme="minorHAnsi"/>
          <w:sz w:val="18"/>
          <w:szCs w:val="18"/>
        </w:rPr>
        <w:t>OneVision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OneVision Group comprises entities in Germany, USA, Great Britain, France, Brazil, Singapore and India.</w:t>
      </w:r>
    </w:p>
    <w:p>
      <w:pPr>
        <w:suppressAutoHyphens w:val="0"/>
        <w:autoSpaceDE w:val="0"/>
        <w:autoSpaceDN w:val="0"/>
        <w:adjustRightInd w:val="0"/>
        <w:jc w:val="both"/>
        <w:rPr>
          <w:rFonts w:eastAsiaTheme="minorHAnsi"/>
          <w:sz w:val="18"/>
          <w:szCs w:val="18"/>
        </w:rPr>
      </w:pPr>
    </w:p>
    <w:p>
      <w:pPr>
        <w:rPr>
          <w:b/>
          <w:sz w:val="16"/>
          <w:szCs w:val="16"/>
        </w:rPr>
      </w:pPr>
      <w:r>
        <w:rPr>
          <w:b/>
          <w:sz w:val="16"/>
          <w:szCs w:val="16"/>
        </w:rPr>
        <w:t xml:space="preserve">Picture Credits: </w:t>
      </w:r>
    </w:p>
    <w:p>
      <w:pPr>
        <w:rPr>
          <w:b/>
          <w:sz w:val="16"/>
          <w:szCs w:val="16"/>
        </w:rPr>
      </w:pPr>
    </w:p>
    <w:p>
      <w:pPr>
        <w:rPr>
          <w:b/>
          <w:sz w:val="16"/>
          <w:szCs w:val="16"/>
        </w:rPr>
      </w:pPr>
      <w:r>
        <w:rPr>
          <w:b/>
          <w:noProof/>
          <w:sz w:val="16"/>
          <w:szCs w:val="16"/>
        </w:rPr>
        <w:drawing>
          <wp:inline distT="0" distB="0" distL="0" distR="0">
            <wp:extent cx="5756910" cy="32359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235960"/>
                    </a:xfrm>
                    <a:prstGeom prst="rect">
                      <a:avLst/>
                    </a:prstGeom>
                    <a:noFill/>
                    <a:ln>
                      <a:noFill/>
                    </a:ln>
                  </pic:spPr>
                </pic:pic>
              </a:graphicData>
            </a:graphic>
          </wp:inline>
        </w:drawing>
      </w:r>
    </w:p>
    <w:p>
      <w:pPr>
        <w:rPr>
          <w:b/>
          <w:sz w:val="16"/>
          <w:szCs w:val="16"/>
        </w:rPr>
      </w:pPr>
    </w:p>
    <w:p>
      <w:pPr>
        <w:pStyle w:val="NormalWeb"/>
        <w:rPr>
          <w:rFonts w:ascii="Univers 55" w:eastAsiaTheme="minorHAnsi" w:hAnsi="Univers 55"/>
          <w:i/>
          <w:sz w:val="16"/>
          <w:szCs w:val="16"/>
        </w:rPr>
      </w:pPr>
      <w:r>
        <w:rPr>
          <w:rFonts w:ascii="Univers 55" w:eastAsiaTheme="minorHAnsi" w:hAnsi="Univers 55"/>
          <w:i/>
          <w:sz w:val="16"/>
          <w:szCs w:val="16"/>
        </w:rPr>
        <w:t>Image 1: Connection, collaboration &amp; expertise with OneVision Software</w:t>
      </w:r>
    </w:p>
    <w:p>
      <w:pPr>
        <w:pStyle w:val="NormalWeb"/>
        <w:rPr>
          <w:sz w:val="16"/>
          <w:szCs w:val="16"/>
        </w:rPr>
      </w:pPr>
    </w:p>
    <w:p>
      <w:pPr>
        <w:pStyle w:val="NormalWeb"/>
        <w:rPr>
          <w:sz w:val="16"/>
          <w:szCs w:val="16"/>
        </w:rPr>
      </w:pPr>
    </w:p>
    <w:p>
      <w:pPr>
        <w:rPr>
          <w:sz w:val="16"/>
          <w:szCs w:val="16"/>
        </w:rPr>
      </w:pPr>
      <w:r>
        <w:rPr>
          <w:noProof/>
          <w:sz w:val="16"/>
          <w:szCs w:val="16"/>
          <w:lang w:val="de-DE" w:eastAsia="de-DE"/>
        </w:rPr>
        <w:drawing>
          <wp:inline distT="0" distB="0" distL="0" distR="0">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pPr>
        <w:rPr>
          <w:b/>
          <w:sz w:val="16"/>
          <w:szCs w:val="16"/>
        </w:rPr>
      </w:pPr>
    </w:p>
    <w:p>
      <w:pPr>
        <w:pStyle w:val="NormalWeb"/>
        <w:rPr>
          <w:rFonts w:ascii="Univers 55" w:eastAsiaTheme="minorHAnsi" w:hAnsi="Univers 55"/>
          <w:i/>
          <w:sz w:val="16"/>
          <w:szCs w:val="16"/>
        </w:rPr>
      </w:pPr>
      <w:r>
        <w:rPr>
          <w:rFonts w:ascii="Univers 55" w:eastAsiaTheme="minorHAnsi" w:hAnsi="Univers 55"/>
          <w:i/>
          <w:sz w:val="16"/>
          <w:szCs w:val="16"/>
        </w:rPr>
        <w:t>Image 2: Logo OneVision Software</w:t>
      </w:r>
    </w:p>
    <w:p>
      <w:pPr>
        <w:pStyle w:val="Headline2"/>
        <w:rPr>
          <w:rFonts w:eastAsiaTheme="minorHAnsi"/>
          <w:noProof w:val="0"/>
          <w:sz w:val="16"/>
          <w:szCs w:val="16"/>
        </w:rPr>
      </w:pPr>
    </w:p>
    <w:p>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pPr>
        <w:rPr>
          <w:sz w:val="16"/>
          <w:szCs w:val="16"/>
          <w:lang w:val="de-DE"/>
        </w:rPr>
      </w:pPr>
      <w:r>
        <w:rPr>
          <w:sz w:val="16"/>
          <w:szCs w:val="16"/>
          <w:lang w:val="de-DE"/>
        </w:rPr>
        <w:t>OneVision Software AG</w:t>
      </w:r>
    </w:p>
    <w:p>
      <w:pPr>
        <w:rPr>
          <w:sz w:val="16"/>
          <w:szCs w:val="16"/>
          <w:lang w:val="de-DE"/>
        </w:rPr>
      </w:pPr>
      <w:r>
        <w:rPr>
          <w:sz w:val="16"/>
          <w:szCs w:val="16"/>
          <w:lang w:val="de-DE"/>
        </w:rPr>
        <w:t>Ladehofstraße 50</w:t>
      </w:r>
    </w:p>
    <w:p>
      <w:pPr>
        <w:rPr>
          <w:sz w:val="16"/>
          <w:szCs w:val="16"/>
          <w:lang w:val="de-DE"/>
        </w:rPr>
      </w:pPr>
      <w:r>
        <w:rPr>
          <w:sz w:val="16"/>
          <w:szCs w:val="16"/>
          <w:lang w:val="de-DE"/>
        </w:rPr>
        <w:t>93049 Regensburg</w:t>
      </w:r>
    </w:p>
    <w:p>
      <w:pPr>
        <w:rPr>
          <w:sz w:val="16"/>
          <w:szCs w:val="16"/>
        </w:rPr>
      </w:pPr>
      <w:r>
        <w:rPr>
          <w:sz w:val="16"/>
          <w:szCs w:val="16"/>
        </w:rPr>
        <w:t>Dorottya Turóczy-Topa</w:t>
      </w:r>
      <w:r>
        <w:rPr>
          <w:sz w:val="16"/>
          <w:szCs w:val="16"/>
        </w:rPr>
        <w:tab/>
      </w:r>
      <w:r>
        <w:rPr>
          <w:sz w:val="16"/>
          <w:szCs w:val="16"/>
        </w:rPr>
        <w:tab/>
      </w:r>
      <w:r>
        <w:rPr>
          <w:sz w:val="16"/>
          <w:szCs w:val="16"/>
        </w:rPr>
        <w:tab/>
      </w:r>
      <w:r>
        <w:rPr>
          <w:sz w:val="16"/>
          <w:szCs w:val="16"/>
        </w:rPr>
        <w:tab/>
      </w:r>
      <w:r>
        <w:rPr>
          <w:sz w:val="16"/>
          <w:szCs w:val="16"/>
        </w:rPr>
        <w:tab/>
      </w:r>
    </w:p>
    <w:p>
      <w:pPr>
        <w:rPr>
          <w:sz w:val="16"/>
          <w:szCs w:val="16"/>
        </w:rPr>
      </w:pPr>
      <w:r>
        <w:rPr>
          <w:sz w:val="16"/>
          <w:szCs w:val="16"/>
        </w:rPr>
        <w:t>+49 941 78004 450</w:t>
      </w:r>
    </w:p>
    <w:p>
      <w:pPr>
        <w:rPr>
          <w:rStyle w:val="Hyperlink"/>
          <w:sz w:val="16"/>
          <w:szCs w:val="16"/>
        </w:rPr>
      </w:pPr>
      <w:hyperlink r:id="rId10" w:history="1">
        <w:r>
          <w:rPr>
            <w:rStyle w:val="Hyperlink"/>
            <w:sz w:val="16"/>
            <w:szCs w:val="16"/>
          </w:rPr>
          <w:t>dorottya.turoczy-topa@onevision.com</w:t>
        </w:r>
      </w:hyperlink>
    </w:p>
    <w:p>
      <w:pPr>
        <w:rPr>
          <w:sz w:val="16"/>
          <w:szCs w:val="16"/>
        </w:rPr>
      </w:pPr>
      <w:hyperlink r:id="rId11" w:history="1">
        <w:r>
          <w:rPr>
            <w:rStyle w:val="Hyperlink"/>
            <w:sz w:val="16"/>
            <w:szCs w:val="16"/>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2" type="#_x0000_t75" style="width:50.7pt;height:50.7pt" o:bullet="t">
        <v:imagedata r:id="rId1" o:title="Icon_Aufzählung_Orange"/>
      </v:shape>
    </w:pict>
  </w:numPicBullet>
  <w:numPicBullet w:numPicBulletId="1">
    <w:pict>
      <v:shape id="_x0000_i1433"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37462478">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rottya.turoczy-topa@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30</cp:revision>
  <cp:lastPrinted>2022-05-02T12:13:00Z</cp:lastPrinted>
  <dcterms:created xsi:type="dcterms:W3CDTF">2025-03-13T15:08:00Z</dcterms:created>
  <dcterms:modified xsi:type="dcterms:W3CDTF">2025-09-04T07:26:00Z</dcterms:modified>
</cp:coreProperties>
</file>